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1" w:rsidRPr="008C267D" w:rsidRDefault="00210E54" w:rsidP="003B2C13">
      <w:pPr>
        <w:pStyle w:val="Heading1"/>
        <w:jc w:val="center"/>
        <w:rPr>
          <w:i/>
          <w:sz w:val="20"/>
        </w:rPr>
      </w:pPr>
      <w:r w:rsidRPr="003D1CB6">
        <w:rPr>
          <w:b/>
        </w:rPr>
        <w:t>UConn school of business</w:t>
      </w:r>
      <w:r w:rsidR="003D1CB6">
        <w:rPr>
          <w:b/>
        </w:rPr>
        <w:t xml:space="preserve"> </w:t>
      </w:r>
      <w:r w:rsidR="003D1CB6" w:rsidRPr="003D1CB6">
        <w:t>|</w:t>
      </w:r>
      <w:r w:rsidRPr="00090E96">
        <w:t xml:space="preserve"> </w:t>
      </w:r>
      <w:r w:rsidR="005C6662">
        <w:t>positive outcome</w:t>
      </w:r>
      <w:r w:rsidR="00FD1292" w:rsidRPr="00090E96">
        <w:t xml:space="preserve"> </w:t>
      </w:r>
      <w:r w:rsidR="005C6662">
        <w:t>statistics</w:t>
      </w:r>
    </w:p>
    <w:p w:rsidR="008230FA" w:rsidRDefault="005C6662" w:rsidP="008230FA">
      <w:pPr>
        <w:pStyle w:val="Heading2"/>
      </w:pPr>
      <w:r>
        <w:t xml:space="preserve">positive outcome </w:t>
      </w:r>
      <w:r w:rsidR="008230FA">
        <w:t>rate</w:t>
      </w:r>
      <w:r w:rsidR="00A23E31">
        <w:t xml:space="preserve"> at</w:t>
      </w:r>
      <w:r w:rsidR="008230FA">
        <w:t xml:space="preserve"> 3 Months after graduation</w:t>
      </w:r>
    </w:p>
    <w:p w:rsidR="00545DCC" w:rsidRDefault="000B7ADF" w:rsidP="00545DCC">
      <w:pPr>
        <w:jc w:val="center"/>
        <w:rPr>
          <w:b/>
          <w:sz w:val="32"/>
        </w:rPr>
      </w:pPr>
      <w:r>
        <w:rPr>
          <w:b/>
          <w:sz w:val="32"/>
        </w:rPr>
        <w:t>8</w:t>
      </w:r>
      <w:r w:rsidR="00A23E31">
        <w:rPr>
          <w:b/>
          <w:sz w:val="32"/>
        </w:rPr>
        <w:t>8</w:t>
      </w:r>
      <w:r w:rsidR="001B650C">
        <w:rPr>
          <w:b/>
          <w:sz w:val="32"/>
        </w:rPr>
        <w:t>%</w:t>
      </w:r>
    </w:p>
    <w:p w:rsidR="008B364C" w:rsidRPr="00545DCC" w:rsidRDefault="005C6662" w:rsidP="005C6662">
      <w:pPr>
        <w:tabs>
          <w:tab w:val="center" w:pos="5400"/>
          <w:tab w:val="left" w:pos="8803"/>
        </w:tabs>
        <w:rPr>
          <w:b/>
          <w:sz w:val="32"/>
        </w:rPr>
      </w:pPr>
      <w:r>
        <w:rPr>
          <w:b/>
          <w:i/>
        </w:rPr>
        <w:tab/>
      </w:r>
      <w:r w:rsidR="00545DCC" w:rsidRPr="00A23E31">
        <w:rPr>
          <w:b/>
          <w:i/>
        </w:rPr>
        <w:t xml:space="preserve">As of </w:t>
      </w:r>
      <w:r w:rsidR="005F27AB" w:rsidRPr="00A23E31">
        <w:rPr>
          <w:b/>
          <w:i/>
        </w:rPr>
        <w:t>September</w:t>
      </w:r>
      <w:r w:rsidR="00545DCC" w:rsidRPr="00A23E31">
        <w:rPr>
          <w:b/>
          <w:i/>
        </w:rPr>
        <w:t xml:space="preserve"> </w:t>
      </w:r>
      <w:r w:rsidR="00DB08EE" w:rsidRPr="00A23E31">
        <w:rPr>
          <w:b/>
          <w:i/>
        </w:rPr>
        <w:t>2019</w:t>
      </w:r>
      <w:r>
        <w:rPr>
          <w:b/>
          <w:i/>
        </w:rPr>
        <w:tab/>
      </w:r>
    </w:p>
    <w:p w:rsidR="009904C1" w:rsidRDefault="002F194E">
      <w:pPr>
        <w:pStyle w:val="Heading2"/>
      </w:pPr>
      <w:r>
        <w:t>Employment locations</w:t>
      </w:r>
      <w:r w:rsidR="00D06F83">
        <w:t xml:space="preserve"> </w:t>
      </w:r>
      <w:r w:rsidR="00545DCC">
        <w:t>Of GRADUATES</w:t>
      </w:r>
    </w:p>
    <w:p w:rsidR="00652500" w:rsidRDefault="002F194E" w:rsidP="007068ED">
      <w:pPr>
        <w:jc w:val="center"/>
      </w:pPr>
      <w:r>
        <w:t xml:space="preserve">Mid-Atlantic: </w:t>
      </w:r>
      <w:r w:rsidR="005C6662">
        <w:t>1.67</w:t>
      </w:r>
      <w:r>
        <w:t xml:space="preserve">% • Midwest: </w:t>
      </w:r>
      <w:r w:rsidR="005C6662">
        <w:t>2.34</w:t>
      </w:r>
      <w:r>
        <w:t xml:space="preserve">% • </w:t>
      </w:r>
      <w:r w:rsidRPr="007068ED">
        <w:rPr>
          <w:b/>
        </w:rPr>
        <w:t xml:space="preserve">Northeast: </w:t>
      </w:r>
      <w:r w:rsidR="00365E94">
        <w:rPr>
          <w:b/>
        </w:rPr>
        <w:t>89.</w:t>
      </w:r>
      <w:r w:rsidR="00351F0C">
        <w:rPr>
          <w:b/>
        </w:rPr>
        <w:t>3</w:t>
      </w:r>
      <w:r w:rsidRPr="007068ED">
        <w:rPr>
          <w:b/>
        </w:rPr>
        <w:t>%</w:t>
      </w:r>
      <w:r>
        <w:t xml:space="preserve"> •</w:t>
      </w:r>
      <w:r w:rsidR="005C6662">
        <w:t xml:space="preserve"> Outside North America: 1.34</w:t>
      </w:r>
      <w:r w:rsidR="00652500">
        <w:t xml:space="preserve">% </w:t>
      </w:r>
    </w:p>
    <w:p w:rsidR="002F194E" w:rsidRDefault="003C4F6F" w:rsidP="007068ED">
      <w:pPr>
        <w:jc w:val="center"/>
      </w:pPr>
      <w:r>
        <w:t xml:space="preserve"> South: </w:t>
      </w:r>
      <w:r w:rsidR="00DB08EE">
        <w:t>3</w:t>
      </w:r>
      <w:r>
        <w:t>.</w:t>
      </w:r>
      <w:r w:rsidR="005C6662">
        <w:t>34</w:t>
      </w:r>
      <w:r w:rsidR="00652500">
        <w:t>% •</w:t>
      </w:r>
      <w:r w:rsidR="002F194E">
        <w:t xml:space="preserve"> South</w:t>
      </w:r>
      <w:r w:rsidR="00DC3599">
        <w:t>west</w:t>
      </w:r>
      <w:r w:rsidR="002F194E">
        <w:t xml:space="preserve">: </w:t>
      </w:r>
      <w:r w:rsidR="005C6662">
        <w:t>1.67</w:t>
      </w:r>
      <w:r w:rsidR="002F194E">
        <w:t xml:space="preserve">% • </w:t>
      </w:r>
      <w:r w:rsidR="00DC3599">
        <w:t>West</w:t>
      </w:r>
      <w:r w:rsidR="002F194E">
        <w:t xml:space="preserve">: </w:t>
      </w:r>
      <w:r w:rsidR="005C6662">
        <w:t>.33</w:t>
      </w:r>
      <w:r w:rsidR="002F194E">
        <w:t>%</w:t>
      </w:r>
    </w:p>
    <w:p w:rsidR="009904C1" w:rsidRDefault="00545DCC">
      <w:pPr>
        <w:pStyle w:val="Heading2"/>
      </w:pPr>
      <w:r>
        <w:t>TOP</w:t>
      </w:r>
      <w:r w:rsidR="005820C5">
        <w:t xml:space="preserve"> Employers (by hires)</w:t>
      </w:r>
    </w:p>
    <w:p w:rsidR="009904C1" w:rsidRDefault="005820C5">
      <w:proofErr w:type="spellStart"/>
      <w:r>
        <w:t>Pricewaterhouse</w:t>
      </w:r>
      <w:proofErr w:type="spellEnd"/>
      <w:r>
        <w:t xml:space="preserve"> Coopers (P</w:t>
      </w:r>
      <w:r w:rsidR="00851D23">
        <w:t>w</w:t>
      </w:r>
      <w:r>
        <w:t>C), Deloitte,</w:t>
      </w:r>
      <w:r w:rsidR="00851D23">
        <w:t xml:space="preserve"> United Technologies, Altria</w:t>
      </w:r>
      <w:r w:rsidR="005305A8">
        <w:t>, Aetna, KPMG, Ernst &amp; Young (EY), Cigna, Grant Th</w:t>
      </w:r>
      <w:r w:rsidR="00102191">
        <w:t>or</w:t>
      </w:r>
      <w:r w:rsidR="00462182">
        <w:t>n</w:t>
      </w:r>
      <w:r w:rsidR="00102191">
        <w:t>ton, Moody’s</w:t>
      </w:r>
      <w:r w:rsidR="005305A8">
        <w:t>,</w:t>
      </w:r>
      <w:r w:rsidR="00102191">
        <w:t xml:space="preserve"> TJX Companies,</w:t>
      </w:r>
      <w:r w:rsidR="005305A8">
        <w:t xml:space="preserve"> The Hartford,</w:t>
      </w:r>
      <w:r>
        <w:t xml:space="preserve"> </w:t>
      </w:r>
      <w:r w:rsidR="00851D23">
        <w:t>Travelers</w:t>
      </w:r>
      <w:r>
        <w:t>, Pratt &amp; Whitney,</w:t>
      </w:r>
      <w:r w:rsidR="00102191">
        <w:t xml:space="preserve"> Nielsen</w:t>
      </w:r>
      <w:r w:rsidR="00851D23">
        <w:t>, IBM, Liberty Mutual</w:t>
      </w:r>
      <w:r w:rsidR="005305A8">
        <w:t>,</w:t>
      </w:r>
      <w:r w:rsidR="00851D23">
        <w:t xml:space="preserve"> World Fuel Services, Kantar,</w:t>
      </w:r>
      <w:r w:rsidR="005305A8">
        <w:t xml:space="preserve"> Aon Hewitt</w:t>
      </w:r>
      <w:r w:rsidR="00501B67">
        <w:t>,</w:t>
      </w:r>
      <w:r>
        <w:t xml:space="preserve"> </w:t>
      </w:r>
      <w:r w:rsidR="00851D23">
        <w:t xml:space="preserve">Amazon, Indeed, </w:t>
      </w:r>
      <w:proofErr w:type="spellStart"/>
      <w:r w:rsidR="00851D23">
        <w:t>BlumShapiro</w:t>
      </w:r>
      <w:proofErr w:type="spellEnd"/>
      <w:r w:rsidR="00851D23">
        <w:t>, Mercer,</w:t>
      </w:r>
      <w:r w:rsidR="009E799D">
        <w:t xml:space="preserve"> IPSOS, </w:t>
      </w:r>
      <w:proofErr w:type="spellStart"/>
      <w:r w:rsidR="009E799D">
        <w:t>FactSet</w:t>
      </w:r>
      <w:proofErr w:type="spellEnd"/>
      <w:r w:rsidR="009E799D">
        <w:t>,</w:t>
      </w:r>
      <w:r w:rsidR="00851D23">
        <w:t xml:space="preserve"> Goldman Sachs</w:t>
      </w:r>
    </w:p>
    <w:p w:rsidR="009904C1" w:rsidRDefault="00D06F83" w:rsidP="003B2C13">
      <w:pPr>
        <w:pStyle w:val="Heading1"/>
        <w:jc w:val="center"/>
      </w:pPr>
      <w:r>
        <w:t>Salary information by major</w:t>
      </w:r>
    </w:p>
    <w:tbl>
      <w:tblPr>
        <w:tblStyle w:val="ListTable2-Accent1"/>
        <w:tblW w:w="499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upervisor feedback"/>
      </w:tblPr>
      <w:tblGrid>
        <w:gridCol w:w="7048"/>
        <w:gridCol w:w="3730"/>
      </w:tblGrid>
      <w:tr w:rsidR="009904C1" w:rsidTr="003B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tcW w:w="7048" w:type="dxa"/>
          </w:tcPr>
          <w:p w:rsidR="009904C1" w:rsidRDefault="00210E54">
            <w:r>
              <w:t>major</w:t>
            </w:r>
          </w:p>
        </w:tc>
        <w:tc>
          <w:tcPr>
            <w:tcW w:w="3730" w:type="dxa"/>
          </w:tcPr>
          <w:p w:rsidR="009904C1" w:rsidRDefault="00210E54">
            <w:r>
              <w:t>Median base &amp; High base salaries</w:t>
            </w:r>
          </w:p>
        </w:tc>
      </w:tr>
      <w:tr w:rsidR="009904C1" w:rsidTr="003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Accounting</w:t>
            </w:r>
          </w:p>
        </w:tc>
        <w:tc>
          <w:tcPr>
            <w:tcW w:w="3730" w:type="dxa"/>
          </w:tcPr>
          <w:p w:rsidR="009904C1" w:rsidRDefault="005820C5" w:rsidP="009E799D">
            <w:r>
              <w:t xml:space="preserve">            $60,000 | $</w:t>
            </w:r>
            <w:r w:rsidR="009E799D">
              <w:t>72,000</w:t>
            </w:r>
          </w:p>
        </w:tc>
      </w:tr>
      <w:tr w:rsidR="009904C1" w:rsidTr="003B2C13">
        <w:trPr>
          <w:trHeight w:val="409"/>
        </w:trPr>
        <w:tc>
          <w:tcPr>
            <w:tcW w:w="7048" w:type="dxa"/>
          </w:tcPr>
          <w:p w:rsidR="009904C1" w:rsidRDefault="00210E54" w:rsidP="00210E54">
            <w:pPr>
              <w:pStyle w:val="ListParagraph"/>
            </w:pPr>
            <w:r>
              <w:t>Business Administration</w:t>
            </w:r>
          </w:p>
        </w:tc>
        <w:tc>
          <w:tcPr>
            <w:tcW w:w="3730" w:type="dxa"/>
          </w:tcPr>
          <w:p w:rsidR="009904C1" w:rsidRDefault="005820C5" w:rsidP="00026A38">
            <w:r>
              <w:t xml:space="preserve">            $</w:t>
            </w:r>
            <w:r w:rsidR="00026A38">
              <w:t>50,750</w:t>
            </w:r>
            <w:r>
              <w:t xml:space="preserve"> | $</w:t>
            </w:r>
            <w:r w:rsidR="009E799D">
              <w:t>72</w:t>
            </w:r>
            <w:r w:rsidR="00D3007B">
              <w:t>,</w:t>
            </w:r>
            <w:r w:rsidR="009E799D">
              <w:t>8</w:t>
            </w:r>
            <w:r w:rsidR="00D3007B">
              <w:t>00</w:t>
            </w:r>
          </w:p>
        </w:tc>
      </w:tr>
      <w:tr w:rsidR="009904C1" w:rsidTr="003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7048" w:type="dxa"/>
          </w:tcPr>
          <w:p w:rsidR="009904C1" w:rsidRDefault="00210E54" w:rsidP="000972E4">
            <w:pPr>
              <w:pStyle w:val="ListParagraph"/>
            </w:pPr>
            <w:r>
              <w:t>Business</w:t>
            </w:r>
            <w:r w:rsidR="005820C5">
              <w:t xml:space="preserve"> </w:t>
            </w:r>
            <w:r>
              <w:t>Data Analytics</w:t>
            </w:r>
          </w:p>
        </w:tc>
        <w:tc>
          <w:tcPr>
            <w:tcW w:w="3730" w:type="dxa"/>
          </w:tcPr>
          <w:p w:rsidR="009904C1" w:rsidRDefault="005820C5" w:rsidP="009E799D">
            <w:r>
              <w:t xml:space="preserve">            $</w:t>
            </w:r>
            <w:r w:rsidR="009E799D">
              <w:t>62,50</w:t>
            </w:r>
            <w:r w:rsidR="00D3007B">
              <w:t>0</w:t>
            </w:r>
            <w:r>
              <w:t xml:space="preserve"> | $</w:t>
            </w:r>
            <w:r w:rsidR="009E799D">
              <w:t>72,000</w:t>
            </w:r>
          </w:p>
        </w:tc>
      </w:tr>
      <w:tr w:rsidR="009904C1" w:rsidTr="003B2C13">
        <w:trPr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Finance</w:t>
            </w:r>
          </w:p>
        </w:tc>
        <w:tc>
          <w:tcPr>
            <w:tcW w:w="3730" w:type="dxa"/>
          </w:tcPr>
          <w:p w:rsidR="009904C1" w:rsidRDefault="00E3259C" w:rsidP="00026A38">
            <w:r>
              <w:t xml:space="preserve">            $</w:t>
            </w:r>
            <w:r w:rsidR="009E799D">
              <w:t>6</w:t>
            </w:r>
            <w:r w:rsidR="00026A38">
              <w:t>0,750</w:t>
            </w:r>
            <w:r w:rsidR="00B44EEB">
              <w:t xml:space="preserve"> </w:t>
            </w:r>
            <w:r>
              <w:t>| $</w:t>
            </w:r>
            <w:r w:rsidR="009E799D">
              <w:t>85,000</w:t>
            </w:r>
          </w:p>
        </w:tc>
      </w:tr>
      <w:tr w:rsidR="009904C1" w:rsidTr="003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Financial Management</w:t>
            </w:r>
          </w:p>
        </w:tc>
        <w:tc>
          <w:tcPr>
            <w:tcW w:w="3730" w:type="dxa"/>
          </w:tcPr>
          <w:p w:rsidR="009904C1" w:rsidRDefault="00E3259C" w:rsidP="00026A38">
            <w:r>
              <w:t xml:space="preserve">            $</w:t>
            </w:r>
            <w:r w:rsidR="00351F0C">
              <w:t>62,4</w:t>
            </w:r>
            <w:r w:rsidR="00026A38">
              <w:t>00</w:t>
            </w:r>
            <w:r>
              <w:t xml:space="preserve"> | $</w:t>
            </w:r>
            <w:r w:rsidR="009E799D">
              <w:t>75,000</w:t>
            </w:r>
          </w:p>
        </w:tc>
      </w:tr>
      <w:tr w:rsidR="009904C1" w:rsidTr="003B2C13">
        <w:trPr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Health Care Management</w:t>
            </w:r>
          </w:p>
        </w:tc>
        <w:tc>
          <w:tcPr>
            <w:tcW w:w="3730" w:type="dxa"/>
          </w:tcPr>
          <w:p w:rsidR="009904C1" w:rsidRDefault="00E3259C" w:rsidP="003A0A06">
            <w:r>
              <w:t xml:space="preserve">            $</w:t>
            </w:r>
            <w:r w:rsidR="009E799D">
              <w:t>5</w:t>
            </w:r>
            <w:r w:rsidR="003A0A06">
              <w:t xml:space="preserve">8,500 </w:t>
            </w:r>
            <w:r>
              <w:t>| $</w:t>
            </w:r>
            <w:r w:rsidR="009E799D">
              <w:t>70</w:t>
            </w:r>
            <w:r w:rsidR="00D3007B">
              <w:t>,</w:t>
            </w:r>
            <w:r w:rsidR="00351F0C">
              <w:t>0</w:t>
            </w:r>
            <w:r w:rsidR="00D3007B">
              <w:t>00</w:t>
            </w:r>
          </w:p>
        </w:tc>
      </w:tr>
      <w:tr w:rsidR="009904C1" w:rsidTr="003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Management</w:t>
            </w:r>
          </w:p>
        </w:tc>
        <w:tc>
          <w:tcPr>
            <w:tcW w:w="3730" w:type="dxa"/>
          </w:tcPr>
          <w:p w:rsidR="009904C1" w:rsidRDefault="00E3259C" w:rsidP="003A0A06">
            <w:r>
              <w:t xml:space="preserve">            $</w:t>
            </w:r>
            <w:r w:rsidR="00FC34EA">
              <w:t>5</w:t>
            </w:r>
            <w:r w:rsidR="003A0A06">
              <w:t xml:space="preserve">2,500 </w:t>
            </w:r>
            <w:r>
              <w:t>| $</w:t>
            </w:r>
            <w:r w:rsidR="00D3007B">
              <w:t>7</w:t>
            </w:r>
            <w:r w:rsidR="009E799D">
              <w:t>7</w:t>
            </w:r>
            <w:r w:rsidR="00D3007B">
              <w:t>,000</w:t>
            </w:r>
          </w:p>
        </w:tc>
      </w:tr>
      <w:tr w:rsidR="009904C1" w:rsidTr="003B2C13">
        <w:trPr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Management and Engineering for Manufacturing (MEM)</w:t>
            </w:r>
          </w:p>
        </w:tc>
        <w:tc>
          <w:tcPr>
            <w:tcW w:w="3730" w:type="dxa"/>
          </w:tcPr>
          <w:p w:rsidR="009904C1" w:rsidRDefault="00E3259C" w:rsidP="009E799D">
            <w:r>
              <w:t xml:space="preserve">            $</w:t>
            </w:r>
            <w:r w:rsidR="001827F3">
              <w:t>6</w:t>
            </w:r>
            <w:r w:rsidR="009E799D">
              <w:t>8,000</w:t>
            </w:r>
            <w:r w:rsidR="00D3007B">
              <w:t xml:space="preserve"> | $</w:t>
            </w:r>
            <w:r w:rsidR="009E799D">
              <w:t>75,100</w:t>
            </w:r>
          </w:p>
        </w:tc>
      </w:tr>
      <w:tr w:rsidR="009904C1" w:rsidTr="003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Marketing</w:t>
            </w:r>
          </w:p>
        </w:tc>
        <w:tc>
          <w:tcPr>
            <w:tcW w:w="3730" w:type="dxa"/>
          </w:tcPr>
          <w:p w:rsidR="009904C1" w:rsidRDefault="00E3259C" w:rsidP="00FC34EA">
            <w:r>
              <w:t xml:space="preserve">            $</w:t>
            </w:r>
            <w:r w:rsidR="00FC34EA">
              <w:t>55,000 | $77,5</w:t>
            </w:r>
            <w:r>
              <w:t>00</w:t>
            </w:r>
          </w:p>
        </w:tc>
      </w:tr>
      <w:tr w:rsidR="009904C1" w:rsidTr="003B2C13">
        <w:trPr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Management Information Systems</w:t>
            </w:r>
          </w:p>
        </w:tc>
        <w:tc>
          <w:tcPr>
            <w:tcW w:w="3730" w:type="dxa"/>
          </w:tcPr>
          <w:p w:rsidR="009904C1" w:rsidRDefault="00E3259C" w:rsidP="003A0A06">
            <w:r>
              <w:t xml:space="preserve">            $</w:t>
            </w:r>
            <w:r w:rsidR="001827F3">
              <w:t>6</w:t>
            </w:r>
            <w:r w:rsidR="003A0A06">
              <w:t xml:space="preserve">6,500 </w:t>
            </w:r>
            <w:r>
              <w:t>| $</w:t>
            </w:r>
            <w:r w:rsidR="00D3007B">
              <w:t>7</w:t>
            </w:r>
            <w:r w:rsidR="00FC34EA">
              <w:t>6</w:t>
            </w:r>
            <w:r w:rsidR="00D3007B">
              <w:t>,</w:t>
            </w:r>
            <w:r w:rsidR="00FC34EA">
              <w:t>0</w:t>
            </w:r>
            <w:r w:rsidR="00D3007B">
              <w:t>00</w:t>
            </w:r>
          </w:p>
        </w:tc>
      </w:tr>
      <w:tr w:rsidR="009904C1" w:rsidTr="003B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7048" w:type="dxa"/>
          </w:tcPr>
          <w:p w:rsidR="009904C1" w:rsidRDefault="00210E54">
            <w:pPr>
              <w:pStyle w:val="ListParagraph"/>
            </w:pPr>
            <w:r>
              <w:t>Real Estate and Urban Economics</w:t>
            </w:r>
          </w:p>
        </w:tc>
        <w:tc>
          <w:tcPr>
            <w:tcW w:w="3730" w:type="dxa"/>
          </w:tcPr>
          <w:p w:rsidR="009904C1" w:rsidRDefault="002F194E" w:rsidP="00FC34EA">
            <w:r>
              <w:t xml:space="preserve">            </w:t>
            </w:r>
            <w:r w:rsidR="00E3259C">
              <w:t>$</w:t>
            </w:r>
            <w:r w:rsidR="00FC34EA">
              <w:t>54,000</w:t>
            </w:r>
            <w:r>
              <w:t xml:space="preserve"> | $</w:t>
            </w:r>
            <w:r w:rsidR="00FC34EA">
              <w:t>68</w:t>
            </w:r>
            <w:r w:rsidR="00D3007B">
              <w:t>,000</w:t>
            </w:r>
          </w:p>
        </w:tc>
      </w:tr>
      <w:tr w:rsidR="009904C1" w:rsidTr="003B2C13">
        <w:trPr>
          <w:trHeight w:val="409"/>
        </w:trPr>
        <w:tc>
          <w:tcPr>
            <w:tcW w:w="7048" w:type="dxa"/>
          </w:tcPr>
          <w:p w:rsidR="009904C1" w:rsidRPr="005820C5" w:rsidRDefault="00E204D6" w:rsidP="00E3259C">
            <w:pPr>
              <w:rPr>
                <w:b/>
              </w:rPr>
            </w:pPr>
            <w:r>
              <w:rPr>
                <w:b/>
              </w:rPr>
              <w:t>Graduating Class of 2019</w:t>
            </w:r>
          </w:p>
        </w:tc>
        <w:tc>
          <w:tcPr>
            <w:tcW w:w="3730" w:type="dxa"/>
          </w:tcPr>
          <w:p w:rsidR="009904C1" w:rsidRPr="005820C5" w:rsidRDefault="005820C5" w:rsidP="00D3007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820C5">
              <w:rPr>
                <w:b/>
              </w:rPr>
              <w:t>$60,000 | $</w:t>
            </w:r>
            <w:r w:rsidR="00FC34EA">
              <w:rPr>
                <w:b/>
              </w:rPr>
              <w:t>85,000</w:t>
            </w:r>
          </w:p>
        </w:tc>
      </w:tr>
      <w:tr w:rsidR="00545DCC" w:rsidTr="009B3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0778" w:type="dxa"/>
            <w:gridSpan w:val="2"/>
          </w:tcPr>
          <w:p w:rsidR="00545DCC" w:rsidRDefault="00545DCC" w:rsidP="00545DCC">
            <w:pPr>
              <w:ind w:left="360" w:hanging="360"/>
              <w:jc w:val="center"/>
              <w:rPr>
                <w:b/>
                <w:i/>
              </w:rPr>
            </w:pPr>
            <w:r w:rsidRPr="00D3007B">
              <w:rPr>
                <w:b/>
                <w:i/>
              </w:rPr>
              <w:t xml:space="preserve">Highest </w:t>
            </w:r>
            <w:r>
              <w:rPr>
                <w:b/>
                <w:i/>
              </w:rPr>
              <w:t xml:space="preserve">Reported </w:t>
            </w:r>
            <w:r w:rsidRPr="00D3007B">
              <w:rPr>
                <w:b/>
                <w:i/>
              </w:rPr>
              <w:t>Total Compensation</w:t>
            </w:r>
            <w:r w:rsidR="00462182">
              <w:rPr>
                <w:b/>
                <w:i/>
              </w:rPr>
              <w:t xml:space="preserve"> (Including Bonus)</w:t>
            </w:r>
            <w:r>
              <w:rPr>
                <w:b/>
                <w:i/>
              </w:rPr>
              <w:t>, Finance</w:t>
            </w:r>
            <w:r w:rsidR="00DB08EE">
              <w:rPr>
                <w:b/>
                <w:i/>
              </w:rPr>
              <w:t xml:space="preserve"> &amp; Marketing</w:t>
            </w:r>
            <w:r>
              <w:rPr>
                <w:b/>
                <w:i/>
              </w:rPr>
              <w:t>:</w:t>
            </w:r>
            <w:r w:rsidRPr="00D3007B">
              <w:rPr>
                <w:b/>
                <w:i/>
              </w:rPr>
              <w:t xml:space="preserve"> $</w:t>
            </w:r>
            <w:r w:rsidR="00DB08EE">
              <w:rPr>
                <w:b/>
                <w:i/>
              </w:rPr>
              <w:t>8</w:t>
            </w:r>
            <w:r>
              <w:rPr>
                <w:b/>
                <w:i/>
              </w:rPr>
              <w:t>5,000</w:t>
            </w:r>
          </w:p>
          <w:p w:rsidR="00462182" w:rsidRPr="00462182" w:rsidRDefault="00545DCC" w:rsidP="00462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(All</w:t>
            </w:r>
            <w:r w:rsidR="00A23E31">
              <w:rPr>
                <w:sz w:val="16"/>
                <w:szCs w:val="16"/>
              </w:rPr>
              <w:t xml:space="preserve"> data presented is based on a 73</w:t>
            </w:r>
            <w:r>
              <w:rPr>
                <w:sz w:val="16"/>
                <w:szCs w:val="16"/>
              </w:rPr>
              <w:t>% student respon</w:t>
            </w:r>
            <w:r w:rsidR="00A23E31">
              <w:rPr>
                <w:sz w:val="16"/>
                <w:szCs w:val="16"/>
              </w:rPr>
              <w:t>se rate</w:t>
            </w:r>
            <w:r w:rsidR="00462182">
              <w:rPr>
                <w:sz w:val="16"/>
                <w:szCs w:val="16"/>
              </w:rPr>
              <w:t>)</w:t>
            </w:r>
          </w:p>
        </w:tc>
      </w:tr>
      <w:tr w:rsidR="008C267D" w:rsidTr="003B2C13">
        <w:trPr>
          <w:trHeight w:val="409"/>
        </w:trPr>
        <w:tc>
          <w:tcPr>
            <w:tcW w:w="7048" w:type="dxa"/>
          </w:tcPr>
          <w:p w:rsidR="008C267D" w:rsidRPr="00D3007B" w:rsidRDefault="00462182" w:rsidP="002B6CC6">
            <w:pPr>
              <w:tabs>
                <w:tab w:val="left" w:pos="4203"/>
                <w:tab w:val="right" w:pos="7048"/>
              </w:tabs>
              <w:ind w:left="360" w:hanging="360"/>
              <w:rPr>
                <w:b/>
                <w:i/>
              </w:rPr>
            </w:pPr>
            <w:r>
              <w:t>*</w:t>
            </w:r>
            <w:r w:rsidR="00EA04AB">
              <w:rPr>
                <w:sz w:val="16"/>
                <w:szCs w:val="16"/>
              </w:rPr>
              <w:t>–</w:t>
            </w:r>
            <w:r w:rsidRPr="003A0A06">
              <w:rPr>
                <w:i/>
                <w:sz w:val="16"/>
                <w:szCs w:val="16"/>
              </w:rPr>
              <w:t xml:space="preserve"> Digital Marketing &amp; Analytics major has not been included </w:t>
            </w:r>
            <w:r w:rsidR="00EA04AB">
              <w:rPr>
                <w:i/>
                <w:sz w:val="16"/>
                <w:szCs w:val="16"/>
              </w:rPr>
              <w:t>due to data set reporting requirements</w:t>
            </w:r>
          </w:p>
        </w:tc>
        <w:tc>
          <w:tcPr>
            <w:tcW w:w="3730" w:type="dxa"/>
          </w:tcPr>
          <w:p w:rsidR="008C267D" w:rsidRPr="002B6CC6" w:rsidRDefault="002B6CC6" w:rsidP="002B6CC6">
            <w:pPr>
              <w:rPr>
                <w:b/>
                <w:i/>
                <w:color w:val="1F4E79" w:themeColor="accent1" w:themeShade="80"/>
                <w:sz w:val="20"/>
              </w:rPr>
            </w:pPr>
            <w:r>
              <w:rPr>
                <w:b/>
                <w:i/>
                <w:color w:val="1F4E79" w:themeColor="accent1" w:themeShade="80"/>
                <w:sz w:val="20"/>
              </w:rPr>
              <w:t xml:space="preserve">                                                   </w:t>
            </w:r>
            <w:r w:rsidR="00A23E31">
              <w:rPr>
                <w:b/>
                <w:i/>
                <w:color w:val="1F4E79" w:themeColor="accent1" w:themeShade="80"/>
                <w:sz w:val="20"/>
              </w:rPr>
              <w:t>September</w:t>
            </w:r>
            <w:r w:rsidR="00AC4A0F" w:rsidRPr="008C267D">
              <w:rPr>
                <w:b/>
                <w:i/>
                <w:color w:val="1F4E79" w:themeColor="accent1" w:themeShade="80"/>
                <w:sz w:val="20"/>
              </w:rPr>
              <w:t xml:space="preserve"> 201</w:t>
            </w:r>
            <w:r w:rsidR="00AC4A0F">
              <w:rPr>
                <w:b/>
                <w:i/>
                <w:color w:val="1F4E79" w:themeColor="accent1" w:themeShade="80"/>
                <w:sz w:val="20"/>
              </w:rPr>
              <w:t>9</w:t>
            </w:r>
          </w:p>
        </w:tc>
      </w:tr>
    </w:tbl>
    <w:p w:rsidR="00A83015" w:rsidRPr="00A83015" w:rsidRDefault="00357B2E" w:rsidP="008500EF">
      <w:pPr>
        <w:pStyle w:val="Heading1"/>
        <w:tabs>
          <w:tab w:val="center" w:pos="5400"/>
          <w:tab w:val="right" w:pos="10800"/>
        </w:tabs>
        <w:jc w:val="center"/>
      </w:pPr>
      <w:r>
        <w:rPr>
          <w:b/>
        </w:rPr>
        <w:lastRenderedPageBreak/>
        <w:t>School of business</w:t>
      </w:r>
      <w:r w:rsidR="006F3F52">
        <w:t xml:space="preserve"> </w:t>
      </w:r>
      <w:r w:rsidR="003D1CB6" w:rsidRPr="004E6848">
        <w:t>Key hiring employers 2019</w:t>
      </w:r>
    </w:p>
    <w:tbl>
      <w:tblPr>
        <w:tblStyle w:val="ListTable2-Accent1"/>
        <w:tblW w:w="499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upervisor feedback"/>
      </w:tblPr>
      <w:tblGrid>
        <w:gridCol w:w="5130"/>
        <w:gridCol w:w="5648"/>
      </w:tblGrid>
      <w:tr w:rsidR="003D1CB6" w:rsidTr="00A83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tcW w:w="5130" w:type="dxa"/>
          </w:tcPr>
          <w:p w:rsidR="003D1CB6" w:rsidRDefault="00AC4A0F" w:rsidP="003A0A06">
            <w:r>
              <w:t>School of Business</w:t>
            </w:r>
            <w:r w:rsidR="00A83015">
              <w:t xml:space="preserve"> </w:t>
            </w:r>
            <w:r>
              <w:t>key hiring</w:t>
            </w:r>
            <w:r w:rsidR="003D1CB6">
              <w:t xml:space="preserve"> organizations</w:t>
            </w:r>
          </w:p>
        </w:tc>
        <w:tc>
          <w:tcPr>
            <w:tcW w:w="5648" w:type="dxa"/>
          </w:tcPr>
          <w:p w:rsidR="003D1CB6" w:rsidRPr="000E7D4B" w:rsidRDefault="003D1CB6" w:rsidP="004E6848">
            <w:pPr>
              <w:rPr>
                <w:b w:val="0"/>
                <w:i/>
              </w:rPr>
            </w:pPr>
          </w:p>
        </w:tc>
      </w:tr>
      <w:tr w:rsidR="003D1CB6" w:rsidTr="00A8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5130" w:type="dxa"/>
          </w:tcPr>
          <w:p w:rsidR="00E44E9F" w:rsidRPr="002B6CC6" w:rsidRDefault="00E44E9F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Aetna</w:t>
            </w:r>
            <w:r w:rsidR="004E6848" w:rsidRPr="002B6CC6">
              <w:rPr>
                <w:rFonts w:ascii="9.9" w:hAnsi="9.9"/>
                <w:sz w:val="20"/>
                <w:szCs w:val="20"/>
              </w:rPr>
              <w:t xml:space="preserve">    </w:t>
            </w:r>
          </w:p>
          <w:p w:rsidR="004443D3" w:rsidRPr="002B6CC6" w:rsidRDefault="00E44E9F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Accenture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Aldi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Altria Group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Amazon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Anders</w:t>
            </w:r>
            <w:r w:rsidR="00D17043" w:rsidRPr="002B6CC6">
              <w:rPr>
                <w:rFonts w:ascii="9.9" w:hAnsi="9.9"/>
                <w:sz w:val="20"/>
                <w:szCs w:val="20"/>
              </w:rPr>
              <w:t>e</w:t>
            </w:r>
            <w:r w:rsidR="00EA04AB" w:rsidRPr="002B6CC6">
              <w:rPr>
                <w:rFonts w:ascii="9.9" w:hAnsi="9.9"/>
                <w:sz w:val="20"/>
                <w:szCs w:val="20"/>
              </w:rPr>
              <w:t>n Tax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Aon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Apex Systems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Bank of America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Barnum Financial Group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D17043" w:rsidRPr="002B6CC6">
              <w:rPr>
                <w:rFonts w:ascii="9.9" w:hAnsi="9.9"/>
                <w:sz w:val="20"/>
                <w:szCs w:val="20"/>
              </w:rPr>
              <w:t>Blum</w:t>
            </w:r>
            <w:r w:rsidR="00EA04AB" w:rsidRPr="002B6CC6">
              <w:rPr>
                <w:rFonts w:ascii="9.9" w:hAnsi="9.9"/>
                <w:sz w:val="20"/>
                <w:szCs w:val="20"/>
              </w:rPr>
              <w:t>Shapiro</w:t>
            </w:r>
            <w:proofErr w:type="spellEnd"/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A04AB" w:rsidRPr="002B6CC6">
              <w:rPr>
                <w:rFonts w:ascii="9.9" w:hAnsi="9.9"/>
                <w:sz w:val="20"/>
                <w:szCs w:val="20"/>
              </w:rPr>
              <w:t>BNY Mellon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Bourgeon Capital Management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Bridgewater Associates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Brown Brothers Harriman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 xml:space="preserve">Cedar Gate Technologies 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Cigna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</w:t>
            </w:r>
            <w:r w:rsidR="00E44E9F" w:rsidRPr="002B6CC6">
              <w:rPr>
                <w:rFonts w:ascii="9.9" w:hAnsi="9.9"/>
                <w:sz w:val="20"/>
                <w:szCs w:val="20"/>
              </w:rPr>
              <w:t xml:space="preserve"> Cognizant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E44E9F" w:rsidRPr="002B6CC6">
              <w:rPr>
                <w:rFonts w:ascii="9.9" w:hAnsi="9.9"/>
                <w:sz w:val="20"/>
                <w:szCs w:val="20"/>
              </w:rPr>
              <w:t>CohnReznick</w:t>
            </w:r>
            <w:proofErr w:type="spellEnd"/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</w:t>
            </w:r>
            <w:r w:rsidR="00E44E9F" w:rsidRPr="002B6CC6">
              <w:rPr>
                <w:rFonts w:ascii="9.9" w:hAnsi="9.9"/>
                <w:sz w:val="20"/>
                <w:szCs w:val="20"/>
              </w:rPr>
              <w:t xml:space="preserve"> Conning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D17043" w:rsidRPr="002B6CC6">
              <w:rPr>
                <w:rFonts w:ascii="9.9" w:hAnsi="9.9"/>
                <w:sz w:val="20"/>
                <w:szCs w:val="20"/>
              </w:rPr>
              <w:t>Cooper</w:t>
            </w:r>
            <w:r w:rsidR="00E44E9F" w:rsidRPr="002B6CC6">
              <w:rPr>
                <w:rFonts w:ascii="9.9" w:hAnsi="9.9"/>
                <w:sz w:val="20"/>
                <w:szCs w:val="20"/>
              </w:rPr>
              <w:t>Surgical</w:t>
            </w:r>
            <w:proofErr w:type="spellEnd"/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CVS Health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DELL / EMC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Deloitte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Diageo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E44E9F" w:rsidRPr="002B6CC6">
              <w:rPr>
                <w:rFonts w:ascii="9.9" w:hAnsi="9.9"/>
                <w:sz w:val="20"/>
                <w:szCs w:val="20"/>
              </w:rPr>
              <w:t>Digitas</w:t>
            </w:r>
            <w:proofErr w:type="spellEnd"/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E44E9F" w:rsidRPr="002B6CC6">
              <w:rPr>
                <w:rFonts w:ascii="9.9" w:hAnsi="9.9"/>
                <w:sz w:val="20"/>
                <w:szCs w:val="20"/>
              </w:rPr>
              <w:t>Docxellent</w:t>
            </w:r>
            <w:proofErr w:type="spellEnd"/>
            <w:r w:rsidR="00485E11" w:rsidRPr="002B6CC6">
              <w:rPr>
                <w:rFonts w:ascii="9.9" w:hAnsi="9.9"/>
                <w:sz w:val="20"/>
                <w:szCs w:val="20"/>
              </w:rPr>
              <w:t xml:space="preserve"> 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Duff &amp; Phelps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Elastic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 xml:space="preserve">EMD </w:t>
            </w:r>
            <w:proofErr w:type="spellStart"/>
            <w:r w:rsidR="00E44E9F" w:rsidRPr="002B6CC6">
              <w:rPr>
                <w:rFonts w:ascii="9.9" w:hAnsi="9.9"/>
                <w:sz w:val="20"/>
                <w:szCs w:val="20"/>
              </w:rPr>
              <w:t>Serono</w:t>
            </w:r>
            <w:proofErr w:type="spellEnd"/>
            <w:r w:rsidR="00E44E9F" w:rsidRPr="002B6CC6">
              <w:rPr>
                <w:rFonts w:ascii="9.9" w:hAnsi="9.9"/>
                <w:sz w:val="20"/>
                <w:szCs w:val="20"/>
              </w:rPr>
              <w:t xml:space="preserve"> | Merck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Enterprise Holdings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Ernst &amp; Young (EY)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E44E9F" w:rsidRPr="002B6CC6">
              <w:rPr>
                <w:rFonts w:ascii="9.9" w:hAnsi="9.9"/>
                <w:sz w:val="20"/>
                <w:szCs w:val="20"/>
              </w:rPr>
              <w:t>FactSet</w:t>
            </w:r>
            <w:proofErr w:type="spellEnd"/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Farm Credit East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Fidelity Investments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FDIC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Fitch Ratings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E44E9F" w:rsidRPr="002B6CC6">
              <w:rPr>
                <w:rFonts w:ascii="9.9" w:hAnsi="9.9"/>
                <w:sz w:val="20"/>
                <w:szCs w:val="20"/>
              </w:rPr>
              <w:t>Gartner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i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General Dynamics Electric Boat</w:t>
            </w:r>
          </w:p>
          <w:p w:rsidR="004443D3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Global Emerging Markets Ltd.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Goldman Sachs</w:t>
            </w:r>
            <w:r w:rsidR="00AC4A0F" w:rsidRPr="002B6CC6">
              <w:rPr>
                <w:rFonts w:ascii="9.9" w:hAnsi="9.9"/>
                <w:sz w:val="20"/>
                <w:szCs w:val="20"/>
              </w:rPr>
              <w:t xml:space="preserve">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Grant Thornton</w:t>
            </w:r>
            <w:r w:rsidR="00D17043" w:rsidRPr="002B6CC6">
              <w:rPr>
                <w:rFonts w:ascii="9.9" w:hAnsi="9.9"/>
                <w:sz w:val="20"/>
                <w:szCs w:val="20"/>
              </w:rPr>
              <w:t xml:space="preserve"> LLP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Greenwich Associates</w:t>
            </w:r>
          </w:p>
          <w:p w:rsidR="00CB48B4" w:rsidRPr="002B6CC6" w:rsidRDefault="00CB48B4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Hanover Insurance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HIMCO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CB48B4" w:rsidRPr="002B6CC6">
              <w:rPr>
                <w:rFonts w:ascii="9.9" w:hAnsi="9.9"/>
                <w:sz w:val="20"/>
                <w:szCs w:val="20"/>
              </w:rPr>
              <w:t>Hologic</w:t>
            </w:r>
            <w:proofErr w:type="spellEnd"/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i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Horizon Media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HSBC Bank USA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IBM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Indeed</w:t>
            </w:r>
          </w:p>
          <w:p w:rsidR="00A83015" w:rsidRPr="002B6CC6" w:rsidRDefault="004E6848" w:rsidP="00CB48B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 xml:space="preserve">Insight Global </w:t>
            </w:r>
          </w:p>
        </w:tc>
        <w:tc>
          <w:tcPr>
            <w:tcW w:w="5648" w:type="dxa"/>
          </w:tcPr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Intuition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CB48B4" w:rsidRPr="002B6CC6">
              <w:rPr>
                <w:rFonts w:ascii="9.9" w:hAnsi="9.9"/>
                <w:sz w:val="20"/>
                <w:szCs w:val="20"/>
              </w:rPr>
              <w:t>Ipsos</w:t>
            </w:r>
            <w:proofErr w:type="spellEnd"/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J.P. Morgan Chase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Johnson &amp; Johnson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 xml:space="preserve">Kairos Investment Management Co.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727E6D" w:rsidRPr="002B6CC6">
              <w:rPr>
                <w:rFonts w:ascii="9.9" w:hAnsi="9.9"/>
                <w:sz w:val="20"/>
                <w:szCs w:val="20"/>
              </w:rPr>
              <w:t>Kaman Industrial Technologies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 xml:space="preserve">Kantar </w:t>
            </w:r>
            <w:proofErr w:type="spellStart"/>
            <w:r w:rsidR="00CB48B4" w:rsidRPr="002B6CC6">
              <w:rPr>
                <w:rFonts w:ascii="9.9" w:hAnsi="9.9"/>
                <w:sz w:val="20"/>
                <w:szCs w:val="20"/>
              </w:rPr>
              <w:t>Millward</w:t>
            </w:r>
            <w:proofErr w:type="spellEnd"/>
            <w:r w:rsidR="00CB48B4" w:rsidRPr="002B6CC6">
              <w:rPr>
                <w:rFonts w:ascii="9.9" w:hAnsi="9.9"/>
                <w:sz w:val="20"/>
                <w:szCs w:val="20"/>
              </w:rPr>
              <w:t xml:space="preserve"> Brown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KPMG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CB48B4" w:rsidRPr="002B6CC6">
              <w:rPr>
                <w:rFonts w:ascii="9.9" w:hAnsi="9.9"/>
                <w:sz w:val="20"/>
                <w:szCs w:val="20"/>
              </w:rPr>
              <w:t>Latam</w:t>
            </w:r>
            <w:proofErr w:type="spellEnd"/>
            <w:r w:rsidR="00CB48B4" w:rsidRPr="002B6CC6">
              <w:rPr>
                <w:rFonts w:ascii="9.9" w:hAnsi="9.9"/>
                <w:sz w:val="20"/>
                <w:szCs w:val="20"/>
              </w:rPr>
              <w:t xml:space="preserve"> Digital Marketing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Lego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Liberty Mutual Insurance</w:t>
            </w:r>
          </w:p>
          <w:p w:rsidR="00357B2E" w:rsidRPr="002B6CC6" w:rsidRDefault="00357B2E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Lilly Pharmaceuticals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Lockheed Martin | Sikorsky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CB48B4" w:rsidRPr="002B6CC6">
              <w:rPr>
                <w:rFonts w:ascii="9.9" w:hAnsi="9.9"/>
                <w:sz w:val="20"/>
                <w:szCs w:val="20"/>
              </w:rPr>
              <w:t>Loeb Enterprises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CB48B4" w:rsidRPr="002B6CC6">
              <w:rPr>
                <w:rFonts w:ascii="9.9" w:hAnsi="9.9"/>
                <w:sz w:val="20"/>
                <w:szCs w:val="20"/>
              </w:rPr>
              <w:t>Lunabit</w:t>
            </w:r>
            <w:proofErr w:type="spellEnd"/>
            <w:r w:rsidR="00CB48B4" w:rsidRPr="002B6CC6">
              <w:rPr>
                <w:rFonts w:ascii="9.9" w:hAnsi="9.9"/>
                <w:sz w:val="20"/>
                <w:szCs w:val="20"/>
              </w:rPr>
              <w:t xml:space="preserve"> Technologies LLC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D17043" w:rsidRPr="002B6CC6">
              <w:rPr>
                <w:rFonts w:ascii="9.9" w:hAnsi="9.9"/>
                <w:sz w:val="20"/>
                <w:szCs w:val="20"/>
              </w:rPr>
              <w:t>Mahoney</w:t>
            </w:r>
            <w:r w:rsidR="00357B2E" w:rsidRPr="002B6CC6">
              <w:rPr>
                <w:rFonts w:ascii="9.9" w:hAnsi="9.9"/>
                <w:sz w:val="20"/>
                <w:szCs w:val="20"/>
              </w:rPr>
              <w:t>Sabol</w:t>
            </w:r>
            <w:proofErr w:type="spellEnd"/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Mason Frank International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MassMutual Life Insurance Co.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MBI, Inc.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Mercer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Merrill Lynch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Moody’s </w:t>
            </w:r>
            <w:r w:rsidR="00D17043" w:rsidRPr="002B6CC6">
              <w:rPr>
                <w:rFonts w:ascii="9.9" w:hAnsi="9.9"/>
                <w:sz w:val="20"/>
                <w:szCs w:val="20"/>
              </w:rPr>
              <w:t>Corporation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Morgan Stanley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Munich RE | Hartford Steam Boiler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Nabisco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NatWest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NBC Universal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Nielsen</w:t>
            </w:r>
            <w:r w:rsidR="00D17043" w:rsidRPr="002B6CC6">
              <w:rPr>
                <w:rFonts w:ascii="9.9" w:hAnsi="9.9"/>
                <w:sz w:val="20"/>
                <w:szCs w:val="20"/>
              </w:rPr>
              <w:t xml:space="preserve"> Holdings Plc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Northwestern Mutual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357B2E" w:rsidRPr="002B6CC6">
              <w:rPr>
                <w:rFonts w:ascii="9.9" w:hAnsi="9.9"/>
                <w:sz w:val="20"/>
                <w:szCs w:val="20"/>
              </w:rPr>
              <w:t>Paycom</w:t>
            </w:r>
            <w:proofErr w:type="spellEnd"/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Point 72 Asset Management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proofErr w:type="spellStart"/>
            <w:r w:rsidR="00357B2E" w:rsidRPr="002B6CC6">
              <w:rPr>
                <w:rFonts w:ascii="9.9" w:hAnsi="9.9"/>
                <w:sz w:val="20"/>
                <w:szCs w:val="20"/>
              </w:rPr>
              <w:t>Pricewaterhouse</w:t>
            </w:r>
            <w:proofErr w:type="spellEnd"/>
            <w:r w:rsidR="00357B2E" w:rsidRPr="002B6CC6">
              <w:rPr>
                <w:rFonts w:ascii="9.9" w:hAnsi="9.9"/>
                <w:sz w:val="20"/>
                <w:szCs w:val="20"/>
              </w:rPr>
              <w:t xml:space="preserve"> Coopers (PwC)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Prudential Financial Services, Inc.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Raytheon Company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Slalom Consulting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SS&amp;C Technologies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Stanley Black &amp; Decker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Synchrony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Target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Techtronic Industries (TTI)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The Hartford Financial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TJX Companies, Inc.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Travelers Insurance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UnitedHealth Group</w:t>
            </w:r>
          </w:p>
          <w:p w:rsidR="007249D0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United Technologies Corp. (UTC) | Pratt &amp; Whitney</w:t>
            </w:r>
          </w:p>
          <w:p w:rsidR="004E6848" w:rsidRPr="002B6CC6" w:rsidRDefault="007249D0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>
              <w:rPr>
                <w:rFonts w:ascii="9.9" w:hAnsi="9.9"/>
                <w:sz w:val="20"/>
                <w:szCs w:val="20"/>
              </w:rPr>
              <w:t xml:space="preserve">    </w:t>
            </w:r>
            <w:r w:rsidRPr="002B6CC6">
              <w:rPr>
                <w:rFonts w:ascii="9.9" w:hAnsi="9.9"/>
                <w:sz w:val="20"/>
                <w:szCs w:val="20"/>
              </w:rPr>
              <w:t>Virtus Investment Partners</w:t>
            </w:r>
            <w:r w:rsidR="00357B2E" w:rsidRPr="002B6CC6">
              <w:rPr>
                <w:rFonts w:ascii="9.9" w:hAnsi="9.9"/>
                <w:sz w:val="20"/>
                <w:szCs w:val="20"/>
              </w:rPr>
              <w:t xml:space="preserve"> </w:t>
            </w:r>
            <w:r w:rsidR="004E6848" w:rsidRPr="002B6CC6">
              <w:rPr>
                <w:rFonts w:ascii="9.9" w:hAnsi="9.9"/>
                <w:sz w:val="20"/>
                <w:szCs w:val="20"/>
              </w:rPr>
              <w:t xml:space="preserve"> 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Wayfair</w:t>
            </w:r>
          </w:p>
          <w:p w:rsidR="00357B2E" w:rsidRPr="002B6CC6" w:rsidRDefault="00357B2E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Webster Bank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Wells Fargo</w:t>
            </w:r>
          </w:p>
          <w:p w:rsidR="00A83015" w:rsidRPr="002B6CC6" w:rsidRDefault="004E6848" w:rsidP="00A23E3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Willis Towers Watson</w:t>
            </w:r>
          </w:p>
          <w:p w:rsidR="00AC4A0F" w:rsidRPr="007249D0" w:rsidRDefault="004E6848" w:rsidP="007249D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9.9" w:hAnsi="9.9"/>
                <w:sz w:val="20"/>
                <w:szCs w:val="20"/>
              </w:rPr>
            </w:pPr>
            <w:r w:rsidRPr="002B6CC6">
              <w:rPr>
                <w:rFonts w:ascii="9.9" w:hAnsi="9.9"/>
                <w:sz w:val="20"/>
                <w:szCs w:val="20"/>
              </w:rPr>
              <w:t xml:space="preserve">    </w:t>
            </w:r>
            <w:r w:rsidR="00357B2E" w:rsidRPr="002B6CC6">
              <w:rPr>
                <w:rFonts w:ascii="9.9" w:hAnsi="9.9"/>
                <w:sz w:val="20"/>
                <w:szCs w:val="20"/>
              </w:rPr>
              <w:t>World Fuel Services</w:t>
            </w:r>
          </w:p>
        </w:tc>
        <w:bookmarkStart w:id="0" w:name="_GoBack"/>
        <w:bookmarkEnd w:id="0"/>
      </w:tr>
      <w:tr w:rsidR="003D1CB6" w:rsidRPr="00DF4391" w:rsidTr="00D710C5">
        <w:trPr>
          <w:trHeight w:val="409"/>
        </w:trPr>
        <w:tc>
          <w:tcPr>
            <w:tcW w:w="10778" w:type="dxa"/>
            <w:gridSpan w:val="2"/>
          </w:tcPr>
          <w:p w:rsidR="003D1CB6" w:rsidRPr="00DF4391" w:rsidRDefault="00010292" w:rsidP="002B6CC6">
            <w:pPr>
              <w:jc w:val="center"/>
              <w:rPr>
                <w:sz w:val="18"/>
                <w:szCs w:val="18"/>
              </w:rPr>
            </w:pPr>
            <w:r w:rsidRPr="00DF4391">
              <w:rPr>
                <w:i/>
                <w:sz w:val="18"/>
                <w:szCs w:val="18"/>
              </w:rPr>
              <w:t>University of Connecticut Business School students accepted a variety of positions throughout the country includ</w:t>
            </w:r>
            <w:r w:rsidR="003A0A06" w:rsidRPr="00DF4391">
              <w:rPr>
                <w:i/>
                <w:sz w:val="18"/>
                <w:szCs w:val="18"/>
              </w:rPr>
              <w:t>ing international opportunities</w:t>
            </w:r>
            <w:r w:rsidR="004443D3" w:rsidRPr="00DF4391">
              <w:rPr>
                <w:i/>
                <w:sz w:val="18"/>
                <w:szCs w:val="18"/>
              </w:rPr>
              <w:t>.</w:t>
            </w:r>
            <w:r w:rsidR="004E6848" w:rsidRPr="00DF4391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                                                                                    </w:t>
            </w:r>
            <w:r w:rsidR="00595D35" w:rsidRPr="00DF4391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="003A0A06" w:rsidRPr="00DF4391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            </w:t>
            </w:r>
            <w:r w:rsidR="001305B1" w:rsidRPr="00DF4391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                       </w:t>
            </w:r>
            <w:r w:rsidR="002B6CC6" w:rsidRPr="00DF4391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      September 2019</w:t>
            </w:r>
          </w:p>
        </w:tc>
      </w:tr>
    </w:tbl>
    <w:p w:rsidR="003D1CB6" w:rsidRPr="00DF4391" w:rsidRDefault="003D1CB6" w:rsidP="002B6CC6">
      <w:pPr>
        <w:rPr>
          <w:sz w:val="18"/>
          <w:szCs w:val="18"/>
        </w:rPr>
      </w:pPr>
    </w:p>
    <w:sectPr w:rsidR="003D1CB6" w:rsidRPr="00DF4391" w:rsidSect="00501B67">
      <w:headerReference w:type="default" r:id="rId8"/>
      <w:headerReference w:type="first" r:id="rId9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DF" w:rsidRDefault="00281FDF">
      <w:pPr>
        <w:spacing w:before="0" w:after="0"/>
      </w:pPr>
      <w:r>
        <w:separator/>
      </w:r>
    </w:p>
  </w:endnote>
  <w:endnote w:type="continuationSeparator" w:id="0">
    <w:p w:rsidR="00281FDF" w:rsidRDefault="00281F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9.9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DF" w:rsidRDefault="00281FDF">
      <w:pPr>
        <w:spacing w:before="0" w:after="0"/>
      </w:pPr>
      <w:r>
        <w:separator/>
      </w:r>
    </w:p>
  </w:footnote>
  <w:footnote w:type="continuationSeparator" w:id="0">
    <w:p w:rsidR="00281FDF" w:rsidRDefault="00281F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96" w:rsidRPr="00090E96" w:rsidRDefault="00090E96" w:rsidP="00090E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4E" w:rsidRDefault="005A254E" w:rsidP="005A254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ABC1857" wp14:editId="4CFEA975">
          <wp:extent cx="2291715" cy="1221639"/>
          <wp:effectExtent l="0" t="0" r="0" b="0"/>
          <wp:docPr id="3" name="Picture 3" descr="cid:image001.jpg@01D336C4.73E51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336C4.73E518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536" cy="137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FCE"/>
    <w:multiLevelType w:val="hybridMultilevel"/>
    <w:tmpl w:val="04326E84"/>
    <w:lvl w:ilvl="0" w:tplc="BE2C595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62A"/>
    <w:multiLevelType w:val="hybridMultilevel"/>
    <w:tmpl w:val="F4DA1A4A"/>
    <w:lvl w:ilvl="0" w:tplc="E12A9F3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0547D"/>
    <w:multiLevelType w:val="hybridMultilevel"/>
    <w:tmpl w:val="876E0F48"/>
    <w:lvl w:ilvl="0" w:tplc="3D82362C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0404E"/>
    <w:multiLevelType w:val="hybridMultilevel"/>
    <w:tmpl w:val="6F1E2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7787E"/>
    <w:multiLevelType w:val="hybridMultilevel"/>
    <w:tmpl w:val="1256EDAE"/>
    <w:lvl w:ilvl="0" w:tplc="093EF2E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0BDE"/>
    <w:multiLevelType w:val="hybridMultilevel"/>
    <w:tmpl w:val="E482D6CA"/>
    <w:lvl w:ilvl="0" w:tplc="3E081B3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7111"/>
    <w:multiLevelType w:val="hybridMultilevel"/>
    <w:tmpl w:val="0EDA2AC2"/>
    <w:lvl w:ilvl="0" w:tplc="50788FE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54"/>
    <w:rsid w:val="00010292"/>
    <w:rsid w:val="000115DE"/>
    <w:rsid w:val="00026A38"/>
    <w:rsid w:val="000650A6"/>
    <w:rsid w:val="00090E96"/>
    <w:rsid w:val="000972E4"/>
    <w:rsid w:val="000B7ADF"/>
    <w:rsid w:val="000E7D4B"/>
    <w:rsid w:val="00102191"/>
    <w:rsid w:val="00126E9C"/>
    <w:rsid w:val="001305B1"/>
    <w:rsid w:val="001827F3"/>
    <w:rsid w:val="001B650C"/>
    <w:rsid w:val="00210E54"/>
    <w:rsid w:val="002501F9"/>
    <w:rsid w:val="00277484"/>
    <w:rsid w:val="00281FDF"/>
    <w:rsid w:val="00291718"/>
    <w:rsid w:val="002B6CC6"/>
    <w:rsid w:val="002B7972"/>
    <w:rsid w:val="002D1467"/>
    <w:rsid w:val="002F114F"/>
    <w:rsid w:val="002F194E"/>
    <w:rsid w:val="002F614B"/>
    <w:rsid w:val="00336526"/>
    <w:rsid w:val="00343544"/>
    <w:rsid w:val="00351F0C"/>
    <w:rsid w:val="00354DE8"/>
    <w:rsid w:val="00357B2E"/>
    <w:rsid w:val="003632D0"/>
    <w:rsid w:val="00365E94"/>
    <w:rsid w:val="003A0A06"/>
    <w:rsid w:val="003B2C13"/>
    <w:rsid w:val="003C4F6F"/>
    <w:rsid w:val="003D1CB6"/>
    <w:rsid w:val="00431DDF"/>
    <w:rsid w:val="004443D3"/>
    <w:rsid w:val="00462182"/>
    <w:rsid w:val="00485E11"/>
    <w:rsid w:val="004E6848"/>
    <w:rsid w:val="00501B67"/>
    <w:rsid w:val="005204BF"/>
    <w:rsid w:val="005305A8"/>
    <w:rsid w:val="00544A93"/>
    <w:rsid w:val="00545DCC"/>
    <w:rsid w:val="005820C5"/>
    <w:rsid w:val="00595D35"/>
    <w:rsid w:val="005A254E"/>
    <w:rsid w:val="005C6662"/>
    <w:rsid w:val="005D2ABD"/>
    <w:rsid w:val="005F27AB"/>
    <w:rsid w:val="00652500"/>
    <w:rsid w:val="0068115F"/>
    <w:rsid w:val="006E2DAE"/>
    <w:rsid w:val="006F3F52"/>
    <w:rsid w:val="007068ED"/>
    <w:rsid w:val="007249D0"/>
    <w:rsid w:val="00725655"/>
    <w:rsid w:val="00727E6D"/>
    <w:rsid w:val="0075450D"/>
    <w:rsid w:val="007E275B"/>
    <w:rsid w:val="007E34F5"/>
    <w:rsid w:val="007E58F2"/>
    <w:rsid w:val="008053DB"/>
    <w:rsid w:val="008230FA"/>
    <w:rsid w:val="00843A7B"/>
    <w:rsid w:val="008500EF"/>
    <w:rsid w:val="00851D23"/>
    <w:rsid w:val="00885626"/>
    <w:rsid w:val="008B364C"/>
    <w:rsid w:val="008C15AF"/>
    <w:rsid w:val="008C1CBB"/>
    <w:rsid w:val="008C267D"/>
    <w:rsid w:val="008E35A2"/>
    <w:rsid w:val="009070D6"/>
    <w:rsid w:val="00975BEB"/>
    <w:rsid w:val="009904C1"/>
    <w:rsid w:val="009E799D"/>
    <w:rsid w:val="00A23E31"/>
    <w:rsid w:val="00A3000C"/>
    <w:rsid w:val="00A51544"/>
    <w:rsid w:val="00A71668"/>
    <w:rsid w:val="00A83015"/>
    <w:rsid w:val="00A93BD9"/>
    <w:rsid w:val="00AC4A0F"/>
    <w:rsid w:val="00B02472"/>
    <w:rsid w:val="00B366C4"/>
    <w:rsid w:val="00B44EEB"/>
    <w:rsid w:val="00BC5152"/>
    <w:rsid w:val="00BD308B"/>
    <w:rsid w:val="00CB48B4"/>
    <w:rsid w:val="00CB68BA"/>
    <w:rsid w:val="00D06F83"/>
    <w:rsid w:val="00D074F4"/>
    <w:rsid w:val="00D17043"/>
    <w:rsid w:val="00D3007B"/>
    <w:rsid w:val="00D42DB5"/>
    <w:rsid w:val="00DB08EE"/>
    <w:rsid w:val="00DC3599"/>
    <w:rsid w:val="00DF4391"/>
    <w:rsid w:val="00E204D6"/>
    <w:rsid w:val="00E3259C"/>
    <w:rsid w:val="00E44E9F"/>
    <w:rsid w:val="00E97530"/>
    <w:rsid w:val="00EA04AB"/>
    <w:rsid w:val="00F33ED4"/>
    <w:rsid w:val="00F574D7"/>
    <w:rsid w:val="00F87255"/>
    <w:rsid w:val="00FC34EA"/>
    <w:rsid w:val="00FD129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F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shd w:val="clear" w:color="auto" w:fill="DEEAF6" w:themeFill="accent1" w:themeFillTint="33"/>
      <w:spacing w:before="480" w:after="240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7F7F7F" w:themeColor="text1" w:themeTint="80"/>
      </w:pBdr>
      <w:spacing w:before="360" w:after="120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0" w:after="120"/>
      <w:outlineLvl w:val="2"/>
    </w:pPr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40" w:after="40"/>
      <w:contextualSpacing/>
    </w:pPr>
    <w:rPr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</w:tblPr>
    <w:tblStylePr w:type="firstRow">
      <w:rPr>
        <w:b/>
        <w:bCs/>
        <w:caps/>
        <w:smallCaps w:val="0"/>
        <w:color w:val="C45911" w:themeColor="accent2" w:themeShade="BF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2"/>
    <w:rPr>
      <w:color w:val="5B9BD5" w:themeColor="accent1"/>
    </w:r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rFonts w:asciiTheme="majorHAnsi" w:hAnsiTheme="majorHAnsi"/>
        <w:b/>
        <w:bCs/>
        <w:caps/>
        <w:smallCaps w:val="0"/>
        <w:color w:val="C45911" w:themeColor="accent2" w:themeShade="BF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sponsetext">
    <w:name w:val="Response text"/>
    <w:basedOn w:val="Normal"/>
    <w:qFormat/>
    <w:pPr>
      <w:spacing w:before="12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F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6F83"/>
  </w:style>
  <w:style w:type="paragraph" w:styleId="NoSpacing">
    <w:name w:val="No Spacing"/>
    <w:link w:val="NoSpacingChar"/>
    <w:uiPriority w:val="1"/>
    <w:qFormat/>
    <w:rsid w:val="003D1CB6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1CB6"/>
    <w:rPr>
      <w:lang w:eastAsia="en-US"/>
    </w:rPr>
  </w:style>
  <w:style w:type="table" w:styleId="MediumList2-Accent1">
    <w:name w:val="Medium List 2 Accent 1"/>
    <w:basedOn w:val="TableNormal"/>
    <w:uiPriority w:val="66"/>
    <w:rsid w:val="00A8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6C4.73E518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twiejczuk\AppData\Roaming\Microsoft\Templates\Manager%20feedback%20form.dotx" TargetMode="External"/></Relationships>
</file>

<file path=word/theme/theme1.xml><?xml version="1.0" encoding="utf-8"?>
<a:theme xmlns:a="http://schemas.openxmlformats.org/drawingml/2006/main" name="Manager feedback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D4DC87-D2F5-42F6-874C-0D022ABD3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 feedback form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2019-09-27T19:45:00Z</dcterms:created>
  <dcterms:modified xsi:type="dcterms:W3CDTF">2019-10-18T20:23:00Z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TC039919519991</vt:lpwstr>
  </property>
  <property fmtid="{D5CDD505-2E9C-101B-9397-08002B2CF9AE}" pid="3" name="_DocHome">
    <vt:i4>1675277162</vt:i4>
  </property>
</Properties>
</file>